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77F" w:rsidRPr="00FE6E44" w:rsidRDefault="007C777F" w:rsidP="007C777F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FE6E44">
        <w:rPr>
          <w:rFonts w:ascii="Corbel" w:hAnsi="Corbel"/>
          <w:bCs/>
          <w:i/>
        </w:rPr>
        <w:t>Załącznik nr 1.5 do Zarządzenia Rektora UR nr 12/2019</w:t>
      </w:r>
    </w:p>
    <w:p w:rsidR="00FE6E44" w:rsidRDefault="00FE6E44" w:rsidP="00CC5E12">
      <w:pPr>
        <w:spacing w:after="0" w:line="240" w:lineRule="auto"/>
        <w:jc w:val="center"/>
        <w:rPr>
          <w:rFonts w:ascii="Corbel" w:hAnsi="Corbel"/>
          <w:b/>
          <w:smallCaps/>
          <w:sz w:val="36"/>
        </w:rPr>
      </w:pPr>
    </w:p>
    <w:p w:rsidR="00CC5E12" w:rsidRPr="00FE6E44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sz w:val="28"/>
        </w:rPr>
      </w:pPr>
      <w:r w:rsidRPr="00FE6E44">
        <w:rPr>
          <w:rFonts w:ascii="Corbel" w:hAnsi="Corbel"/>
          <w:b/>
          <w:smallCaps/>
          <w:sz w:val="28"/>
        </w:rPr>
        <w:t>SYLABUS</w:t>
      </w:r>
    </w:p>
    <w:p w:rsidR="00055148" w:rsidRPr="00FE6E44" w:rsidRDefault="00055148" w:rsidP="00FE6E44">
      <w:pPr>
        <w:spacing w:after="0" w:line="360" w:lineRule="auto"/>
        <w:jc w:val="center"/>
        <w:rPr>
          <w:rFonts w:ascii="Corbel" w:hAnsi="Corbel"/>
          <w:b/>
          <w:smallCaps/>
          <w:szCs w:val="24"/>
        </w:rPr>
      </w:pPr>
      <w:r w:rsidRPr="00FE6E44">
        <w:rPr>
          <w:rFonts w:ascii="Corbel" w:hAnsi="Corbel"/>
          <w:b/>
          <w:smallCaps/>
          <w:szCs w:val="24"/>
        </w:rPr>
        <w:t xml:space="preserve">dotyczy cyklu kształcenia </w:t>
      </w:r>
      <w:r w:rsidRPr="00FE6E44">
        <w:rPr>
          <w:rFonts w:ascii="Corbel" w:hAnsi="Corbel"/>
          <w:i/>
          <w:smallCaps/>
          <w:szCs w:val="24"/>
        </w:rPr>
        <w:t xml:space="preserve">od </w:t>
      </w:r>
      <w:r w:rsidRPr="00FE6E44">
        <w:rPr>
          <w:rFonts w:ascii="Corbel" w:hAnsi="Corbel"/>
          <w:b/>
          <w:i/>
          <w:smallCaps/>
          <w:szCs w:val="24"/>
        </w:rPr>
        <w:t>20</w:t>
      </w:r>
      <w:r w:rsidR="00762D4E" w:rsidRPr="00FE6E44">
        <w:rPr>
          <w:rFonts w:ascii="Corbel" w:hAnsi="Corbel"/>
          <w:b/>
          <w:i/>
          <w:smallCaps/>
          <w:szCs w:val="24"/>
        </w:rPr>
        <w:t>20</w:t>
      </w:r>
      <w:r w:rsidRPr="00FE6E44">
        <w:rPr>
          <w:rFonts w:ascii="Corbel" w:hAnsi="Corbel"/>
          <w:b/>
          <w:i/>
          <w:smallCaps/>
          <w:szCs w:val="24"/>
        </w:rPr>
        <w:t>/20</w:t>
      </w:r>
      <w:r w:rsidR="00762D4E" w:rsidRPr="00FE6E44">
        <w:rPr>
          <w:rFonts w:ascii="Corbel" w:hAnsi="Corbel"/>
          <w:b/>
          <w:i/>
          <w:smallCaps/>
          <w:szCs w:val="24"/>
        </w:rPr>
        <w:t>21</w:t>
      </w:r>
      <w:r w:rsidRPr="00FE6E44">
        <w:rPr>
          <w:rFonts w:ascii="Corbel" w:hAnsi="Corbel"/>
          <w:i/>
          <w:smallCaps/>
          <w:szCs w:val="24"/>
        </w:rPr>
        <w:t xml:space="preserve"> do </w:t>
      </w:r>
      <w:r w:rsidRPr="00FE6E44">
        <w:rPr>
          <w:rFonts w:ascii="Corbel" w:hAnsi="Corbel"/>
          <w:b/>
          <w:i/>
          <w:smallCaps/>
          <w:szCs w:val="24"/>
        </w:rPr>
        <w:t>202</w:t>
      </w:r>
      <w:r w:rsidR="00277EC0" w:rsidRPr="00FE6E44">
        <w:rPr>
          <w:rFonts w:ascii="Corbel" w:hAnsi="Corbel"/>
          <w:b/>
          <w:i/>
          <w:smallCaps/>
          <w:szCs w:val="24"/>
        </w:rPr>
        <w:t>0</w:t>
      </w:r>
      <w:r w:rsidRPr="00FE6E44">
        <w:rPr>
          <w:rFonts w:ascii="Corbel" w:hAnsi="Corbel"/>
          <w:b/>
          <w:i/>
          <w:smallCaps/>
          <w:szCs w:val="24"/>
        </w:rPr>
        <w:t>/202</w:t>
      </w:r>
      <w:r w:rsidR="00277EC0" w:rsidRPr="00FE6E44">
        <w:rPr>
          <w:rFonts w:ascii="Corbel" w:hAnsi="Corbel"/>
          <w:b/>
          <w:i/>
          <w:smallCaps/>
          <w:szCs w:val="24"/>
        </w:rPr>
        <w:t>1</w:t>
      </w:r>
    </w:p>
    <w:p w:rsidR="007C777F" w:rsidRPr="00FE6E44" w:rsidRDefault="007C777F" w:rsidP="00FE6E44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 w:rsidRPr="00FE6E44">
        <w:rPr>
          <w:rFonts w:ascii="Corbel" w:hAnsi="Corbel"/>
          <w:sz w:val="20"/>
          <w:szCs w:val="20"/>
        </w:rPr>
        <w:t>Rok akademicki 20</w:t>
      </w:r>
      <w:r w:rsidR="00CC4059" w:rsidRPr="00FE6E44">
        <w:rPr>
          <w:rFonts w:ascii="Corbel" w:hAnsi="Corbel"/>
          <w:sz w:val="20"/>
          <w:szCs w:val="20"/>
        </w:rPr>
        <w:t>20</w:t>
      </w:r>
      <w:r w:rsidRPr="00FE6E44">
        <w:rPr>
          <w:rFonts w:ascii="Corbel" w:hAnsi="Corbel"/>
          <w:sz w:val="20"/>
          <w:szCs w:val="20"/>
        </w:rPr>
        <w:t>/</w:t>
      </w:r>
      <w:r w:rsidR="00FE6E44">
        <w:rPr>
          <w:rFonts w:ascii="Corbel" w:hAnsi="Corbel"/>
          <w:sz w:val="20"/>
          <w:szCs w:val="20"/>
        </w:rPr>
        <w:t>20</w:t>
      </w:r>
      <w:r w:rsidRPr="00FE6E44">
        <w:rPr>
          <w:rFonts w:ascii="Corbel" w:hAnsi="Corbel"/>
          <w:sz w:val="20"/>
          <w:szCs w:val="20"/>
        </w:rPr>
        <w:t>2</w:t>
      </w:r>
      <w:r w:rsidR="00CC4059" w:rsidRPr="00FE6E44">
        <w:rPr>
          <w:rFonts w:ascii="Corbel" w:hAnsi="Corbel"/>
          <w:sz w:val="20"/>
          <w:szCs w:val="20"/>
        </w:rPr>
        <w:t>1</w:t>
      </w:r>
    </w:p>
    <w:p w:rsidR="00CC5E12" w:rsidRPr="00FE6E44" w:rsidRDefault="00CC5E12" w:rsidP="007C777F">
      <w:pPr>
        <w:spacing w:after="0" w:line="240" w:lineRule="exact"/>
        <w:rPr>
          <w:rFonts w:ascii="Corbel" w:hAnsi="Corbel"/>
          <w:sz w:val="20"/>
          <w:szCs w:val="20"/>
        </w:rPr>
      </w:pPr>
      <w:r w:rsidRPr="00FE6E44">
        <w:rPr>
          <w:rFonts w:ascii="Corbel" w:hAnsi="Corbel"/>
        </w:rPr>
        <w:tab/>
      </w:r>
      <w:r w:rsidRPr="00FE6E44">
        <w:rPr>
          <w:rFonts w:ascii="Corbel" w:hAnsi="Corbel"/>
        </w:rPr>
        <w:tab/>
      </w:r>
      <w:r w:rsidRPr="00FE6E44">
        <w:rPr>
          <w:rFonts w:ascii="Corbel" w:hAnsi="Corbel"/>
        </w:rPr>
        <w:tab/>
        <w:t xml:space="preserve">  </w:t>
      </w:r>
    </w:p>
    <w:p w:rsidR="00CC5E12" w:rsidRPr="00FE6E44" w:rsidRDefault="00CC5E12" w:rsidP="00FE6E44">
      <w:pPr>
        <w:pStyle w:val="Punktygwne"/>
        <w:numPr>
          <w:ilvl w:val="1"/>
          <w:numId w:val="4"/>
        </w:numPr>
        <w:spacing w:before="0" w:after="0" w:line="360" w:lineRule="auto"/>
        <w:rPr>
          <w:rFonts w:ascii="Corbel" w:hAnsi="Corbel"/>
          <w:color w:val="0070C0"/>
        </w:rPr>
      </w:pPr>
      <w:r w:rsidRPr="00FE6E44">
        <w:rPr>
          <w:rFonts w:ascii="Corbel" w:hAnsi="Corbel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FE6E44" w:rsidRDefault="00786EC6" w:rsidP="00FE6E44">
            <w:pPr>
              <w:pStyle w:val="Odpowiedzi"/>
              <w:spacing w:before="0" w:after="0"/>
              <w:rPr>
                <w:rFonts w:ascii="Corbel" w:hAnsi="Corbel"/>
                <w:color w:val="auto"/>
                <w:sz w:val="22"/>
              </w:rPr>
            </w:pPr>
            <w:r w:rsidRPr="00FE6E44">
              <w:rPr>
                <w:rFonts w:ascii="Corbel" w:hAnsi="Corbel"/>
                <w:color w:val="auto"/>
                <w:sz w:val="22"/>
              </w:rPr>
              <w:t>Prawo konsumenckie UE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CC5E12" w:rsidRPr="00FE6E44" w:rsidRDefault="00786EC6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bookmarkStart w:id="0" w:name="_GoBack"/>
            <w:r w:rsidRPr="00FE6E44">
              <w:rPr>
                <w:rFonts w:ascii="Corbel" w:hAnsi="Corbel"/>
                <w:b w:val="0"/>
                <w:color w:val="auto"/>
                <w:sz w:val="22"/>
              </w:rPr>
              <w:t>PRA40</w:t>
            </w:r>
            <w:bookmarkEnd w:id="0"/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6B04A7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N</w:t>
            </w:r>
            <w:r w:rsidR="00CC5E12" w:rsidRPr="00FE6E44">
              <w:rPr>
                <w:rFonts w:ascii="Corbel" w:hAnsi="Corbel"/>
                <w:sz w:val="22"/>
                <w:szCs w:val="22"/>
                <w:lang w:val="pl-PL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CC5E12" w:rsidRPr="00FE6E44" w:rsidRDefault="00FE6E44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FE6E44" w:rsidRDefault="00FE6E44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 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FE6E44" w:rsidRDefault="00F61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FE6E44" w:rsidRDefault="00F61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FE6E44" w:rsidRDefault="00B81402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FE6E44" w:rsidRDefault="00EF65F2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nies</w:t>
            </w:r>
            <w:r w:rsidR="004E695D" w:rsidRPr="00FE6E44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FE6E44" w:rsidRDefault="004E695D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786EC6" w:rsidRPr="00FE6E44">
              <w:rPr>
                <w:rFonts w:ascii="Corbel" w:hAnsi="Corbel"/>
                <w:b w:val="0"/>
              </w:rPr>
              <w:t>III</w:t>
            </w:r>
            <w:r w:rsidRPr="00FE6E44">
              <w:rPr>
                <w:rFonts w:ascii="Corbel" w:hAnsi="Corbel"/>
                <w:b w:val="0"/>
                <w:color w:val="auto"/>
                <w:sz w:val="22"/>
              </w:rPr>
              <w:t xml:space="preserve">, semestr </w:t>
            </w:r>
            <w:r w:rsidR="00786EC6" w:rsidRPr="00FE6E44">
              <w:rPr>
                <w:rFonts w:ascii="Corbel" w:hAnsi="Corbel"/>
                <w:b w:val="0"/>
                <w:color w:val="auto"/>
                <w:sz w:val="22"/>
              </w:rPr>
              <w:t>VI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FE6E44" w:rsidRDefault="006027BC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7C777F" w:rsidRPr="00FE6E44" w:rsidTr="007C777F">
        <w:tc>
          <w:tcPr>
            <w:tcW w:w="2694" w:type="dxa"/>
            <w:vAlign w:val="center"/>
          </w:tcPr>
          <w:p w:rsidR="007C777F" w:rsidRPr="00FE6E44" w:rsidRDefault="007C777F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C777F" w:rsidRPr="00FE6E44" w:rsidRDefault="007C777F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FE6E44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FE6E44" w:rsidRDefault="006B0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7C777F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7C777F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="00554C46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C5E12" w:rsidRPr="00FE6E44" w:rsidTr="007C777F">
        <w:tc>
          <w:tcPr>
            <w:tcW w:w="2694" w:type="dxa"/>
            <w:vAlign w:val="center"/>
          </w:tcPr>
          <w:p w:rsidR="00CC5E12" w:rsidRPr="00FE6E44" w:rsidRDefault="00CC5E12" w:rsidP="00FE6E44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FE6E44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FE6E44" w:rsidRDefault="006B04A7" w:rsidP="00FE6E4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d</w:t>
            </w:r>
            <w:r w:rsidR="00CC4059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CC4059" w:rsidRPr="00FE6E44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:rsidR="007C777F" w:rsidRPr="00EA7093" w:rsidRDefault="007C777F" w:rsidP="00FE6E44">
      <w:pPr>
        <w:pStyle w:val="Podpunkty"/>
        <w:spacing w:after="100" w:afterAutospacing="1"/>
        <w:ind w:left="0"/>
        <w:rPr>
          <w:rFonts w:ascii="Corbel" w:hAnsi="Corbel"/>
          <w:i/>
          <w:sz w:val="22"/>
          <w:szCs w:val="24"/>
        </w:rPr>
      </w:pPr>
      <w:r w:rsidRPr="00EA7093">
        <w:rPr>
          <w:rFonts w:ascii="Corbel" w:hAnsi="Corbel"/>
          <w:i/>
          <w:sz w:val="22"/>
          <w:szCs w:val="24"/>
        </w:rPr>
        <w:t>* -</w:t>
      </w:r>
      <w:r w:rsidRPr="00EA7093">
        <w:rPr>
          <w:rFonts w:ascii="Corbel" w:hAnsi="Corbel"/>
          <w:b w:val="0"/>
          <w:i/>
          <w:sz w:val="22"/>
          <w:szCs w:val="24"/>
        </w:rPr>
        <w:t>opcjonalnie,</w:t>
      </w:r>
      <w:r w:rsidRPr="00EA7093">
        <w:rPr>
          <w:rFonts w:ascii="Corbel" w:hAnsi="Corbel"/>
          <w:i/>
          <w:sz w:val="22"/>
          <w:szCs w:val="24"/>
        </w:rPr>
        <w:t xml:space="preserve"> </w:t>
      </w:r>
      <w:r w:rsidRPr="00EA7093">
        <w:rPr>
          <w:rFonts w:ascii="Corbel" w:hAnsi="Corbel"/>
          <w:b w:val="0"/>
          <w:i/>
          <w:sz w:val="22"/>
          <w:szCs w:val="24"/>
        </w:rPr>
        <w:t>zgodnie z ustaleniami w Jednostce</w:t>
      </w:r>
    </w:p>
    <w:p w:rsidR="00CC5E12" w:rsidRPr="00FE6E44" w:rsidRDefault="00CC5E12" w:rsidP="00FE6E44">
      <w:pPr>
        <w:pStyle w:val="Podpunkty"/>
        <w:numPr>
          <w:ilvl w:val="1"/>
          <w:numId w:val="8"/>
        </w:numPr>
        <w:spacing w:line="360" w:lineRule="auto"/>
        <w:rPr>
          <w:rFonts w:ascii="Corbel" w:hAnsi="Corbel"/>
        </w:rPr>
      </w:pPr>
      <w:r w:rsidRPr="00FE6E44">
        <w:rPr>
          <w:rFonts w:ascii="Corbel" w:hAnsi="Corbel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4"/>
        <w:gridCol w:w="776"/>
        <w:gridCol w:w="851"/>
        <w:gridCol w:w="792"/>
        <w:gridCol w:w="816"/>
        <w:gridCol w:w="746"/>
        <w:gridCol w:w="940"/>
        <w:gridCol w:w="1173"/>
        <w:gridCol w:w="1467"/>
      </w:tblGrid>
      <w:tr w:rsidR="009E00E7" w:rsidRPr="00FE6E44" w:rsidTr="00FE6E4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Semestr</w:t>
            </w:r>
          </w:p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Wykł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Konw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Sem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6E44">
              <w:rPr>
                <w:rFonts w:ascii="Corbel" w:hAnsi="Corbel"/>
                <w:szCs w:val="24"/>
              </w:rPr>
              <w:t>Prakt</w:t>
            </w:r>
            <w:proofErr w:type="spellEnd"/>
            <w:r w:rsidRPr="00FE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E6E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E7" w:rsidRPr="00FE6E44" w:rsidRDefault="009E00E7" w:rsidP="00FE6E4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6E4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E00E7" w:rsidRPr="00FE6E44" w:rsidTr="00FE6E4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E7" w:rsidRPr="00FE6E44" w:rsidRDefault="009E00E7" w:rsidP="00FE6E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hAnsi="Corbel"/>
          <w:smallCaps w:val="0"/>
          <w:sz w:val="20"/>
          <w:szCs w:val="20"/>
        </w:rPr>
        <w:t>1.</w:t>
      </w:r>
      <w:r w:rsidR="007C777F" w:rsidRPr="00FE6E44">
        <w:rPr>
          <w:rFonts w:ascii="Corbel" w:hAnsi="Corbel"/>
          <w:smallCaps w:val="0"/>
          <w:sz w:val="22"/>
        </w:rPr>
        <w:t>2</w:t>
      </w:r>
      <w:r w:rsidRPr="00FE6E44">
        <w:rPr>
          <w:rFonts w:ascii="Corbel" w:hAnsi="Corbel"/>
          <w:smallCaps w:val="0"/>
          <w:sz w:val="22"/>
        </w:rPr>
        <w:t xml:space="preserve">. Sposób realizacji zajęć  </w:t>
      </w:r>
    </w:p>
    <w:p w:rsidR="00CC5E12" w:rsidRPr="00FE6E44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eastAsia="MS Gothic" w:hAnsi="Corbel"/>
          <w:b w:val="0"/>
        </w:rPr>
        <w:t>×</w:t>
      </w:r>
      <w:r w:rsidR="00FE6E44">
        <w:rPr>
          <w:rFonts w:ascii="Corbel" w:eastAsia="MS Gothic" w:hAnsi="Corbel"/>
          <w:b w:val="0"/>
        </w:rPr>
        <w:t xml:space="preserve"> </w:t>
      </w:r>
      <w:r w:rsidR="00CC5E12" w:rsidRPr="00FE6E44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CC5E12" w:rsidRPr="00FE6E44" w:rsidRDefault="006B04A7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eastAsia="MS Gothic" w:hAnsi="Corbel"/>
          <w:b w:val="0"/>
        </w:rPr>
        <w:t>×</w:t>
      </w:r>
      <w:r w:rsidR="00FE6E44">
        <w:rPr>
          <w:rFonts w:ascii="Corbel" w:eastAsia="MS Gothic" w:hAnsi="Corbel"/>
          <w:b w:val="0"/>
        </w:rPr>
        <w:t xml:space="preserve"> </w:t>
      </w:r>
      <w:r w:rsidR="00CC5E12" w:rsidRPr="00FE6E44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FE6E44">
        <w:rPr>
          <w:rFonts w:ascii="Corbel" w:hAnsi="Corbel"/>
          <w:smallCaps w:val="0"/>
          <w:sz w:val="22"/>
        </w:rPr>
        <w:t>1.</w:t>
      </w:r>
      <w:r w:rsidR="007C777F" w:rsidRPr="00FE6E44">
        <w:rPr>
          <w:rFonts w:ascii="Corbel" w:hAnsi="Corbel"/>
          <w:smallCaps w:val="0"/>
          <w:sz w:val="22"/>
        </w:rPr>
        <w:t>3</w:t>
      </w:r>
      <w:r w:rsidRPr="00FE6E44">
        <w:rPr>
          <w:rFonts w:ascii="Corbel" w:hAnsi="Corbel"/>
          <w:smallCaps w:val="0"/>
          <w:sz w:val="22"/>
        </w:rPr>
        <w:t>. Forma zaliczenia przedmiotu</w:t>
      </w:r>
      <w:r w:rsidRPr="00FE6E44">
        <w:rPr>
          <w:rFonts w:ascii="Corbel" w:hAnsi="Corbel"/>
          <w:b w:val="0"/>
          <w:smallCaps w:val="0"/>
          <w:sz w:val="22"/>
        </w:rPr>
        <w:t xml:space="preserve"> (z toku) </w:t>
      </w:r>
      <w:r w:rsidRPr="00FE6E44">
        <w:rPr>
          <w:rFonts w:ascii="Corbel" w:hAnsi="Corbel"/>
          <w:b w:val="0"/>
          <w:i/>
          <w:smallCaps w:val="0"/>
          <w:sz w:val="22"/>
        </w:rPr>
        <w:t>(egzamin, zaliczenie z oceną, zaliczenie bez oceny</w:t>
      </w:r>
      <w:r w:rsidRPr="00FE6E44">
        <w:rPr>
          <w:rFonts w:ascii="Corbel" w:hAnsi="Corbel"/>
          <w:b w:val="0"/>
          <w:smallCaps w:val="0"/>
          <w:sz w:val="22"/>
        </w:rPr>
        <w:t>)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FE6E44" w:rsidRDefault="00786EC6" w:rsidP="00CC5E1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FE6E44">
        <w:rPr>
          <w:rFonts w:ascii="Corbel" w:hAnsi="Corbel"/>
          <w:b w:val="0"/>
          <w:smallCaps w:val="0"/>
        </w:rPr>
        <w:t xml:space="preserve">Zaliczenie </w:t>
      </w:r>
      <w:r w:rsidR="007C777F" w:rsidRPr="00FE6E44">
        <w:rPr>
          <w:rFonts w:ascii="Corbel" w:hAnsi="Corbel"/>
          <w:b w:val="0"/>
          <w:smallCaps w:val="0"/>
        </w:rPr>
        <w:t>z oceną</w:t>
      </w:r>
    </w:p>
    <w:p w:rsidR="00786EC6" w:rsidRPr="00FE6E44" w:rsidRDefault="00786EC6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Default="00CC5E12" w:rsidP="00CC5E12">
      <w:pPr>
        <w:pStyle w:val="Punktygwne"/>
        <w:spacing w:before="0" w:after="0"/>
        <w:rPr>
          <w:rFonts w:ascii="Corbel" w:hAnsi="Corbel"/>
          <w:szCs w:val="24"/>
        </w:rPr>
      </w:pPr>
      <w:r w:rsidRPr="00FE6E44">
        <w:rPr>
          <w:rFonts w:ascii="Corbel" w:hAnsi="Corbel"/>
          <w:szCs w:val="24"/>
        </w:rPr>
        <w:t xml:space="preserve">2.Wymagania wstępne </w:t>
      </w:r>
    </w:p>
    <w:p w:rsidR="00FE6E44" w:rsidRPr="00FE6E44" w:rsidRDefault="00FE6E44" w:rsidP="00CC5E1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FE6E44" w:rsidTr="00CC5E12">
        <w:tc>
          <w:tcPr>
            <w:tcW w:w="9778" w:type="dxa"/>
          </w:tcPr>
          <w:p w:rsidR="00CC5E12" w:rsidRPr="00FE6E44" w:rsidRDefault="00641E21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FE6E44">
              <w:rPr>
                <w:rFonts w:ascii="Corbel" w:hAnsi="Corbel"/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w:rsidR="00FE6E44" w:rsidRDefault="00FE6E44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FE6E44" w:rsidRDefault="00CC5E12" w:rsidP="00FE6E4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</w:rPr>
      </w:pPr>
      <w:r w:rsidRPr="00FE6E44">
        <w:rPr>
          <w:rFonts w:ascii="Corbel" w:hAnsi="Corbel"/>
        </w:rPr>
        <w:t xml:space="preserve">cele, efekty </w:t>
      </w:r>
      <w:r w:rsidR="006B04A7" w:rsidRPr="00FE6E44">
        <w:rPr>
          <w:rFonts w:ascii="Corbel" w:hAnsi="Corbel"/>
        </w:rPr>
        <w:t>uczenia się</w:t>
      </w:r>
      <w:r w:rsidRPr="00FE6E44">
        <w:rPr>
          <w:rFonts w:ascii="Corbel" w:hAnsi="Corbel"/>
        </w:rPr>
        <w:t>, treści Programowe i stosowane metody Dydaktyczne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</w:rPr>
      </w:pPr>
    </w:p>
    <w:p w:rsidR="00CC5E12" w:rsidRPr="00FE6E44" w:rsidRDefault="00CC5E12" w:rsidP="00CC5E12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i/>
        </w:rPr>
      </w:pPr>
      <w:r w:rsidRPr="00FE6E44">
        <w:rPr>
          <w:rFonts w:ascii="Corbel" w:hAnsi="Corbel"/>
        </w:rPr>
        <w:t>Cele przedmiotu</w:t>
      </w:r>
    </w:p>
    <w:p w:rsidR="00FE6E44" w:rsidRPr="00FE6E44" w:rsidRDefault="00FE6E44" w:rsidP="00FE6E44">
      <w:pPr>
        <w:pStyle w:val="Podpunkty"/>
        <w:ind w:left="0"/>
        <w:rPr>
          <w:rFonts w:ascii="Corbel" w:hAnsi="Corbel"/>
          <w:i/>
        </w:rPr>
      </w:pPr>
    </w:p>
    <w:tbl>
      <w:tblPr>
        <w:tblW w:w="95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FE6E44" w:rsidTr="00FE6E44">
        <w:tc>
          <w:tcPr>
            <w:tcW w:w="668" w:type="dxa"/>
            <w:vAlign w:val="center"/>
          </w:tcPr>
          <w:p w:rsidR="00CC5E12" w:rsidRPr="00FE6E44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lang w:val="pl-PL"/>
              </w:rPr>
            </w:pPr>
            <w:r w:rsidRPr="00FE6E44">
              <w:rPr>
                <w:rFonts w:ascii="Corbel" w:hAnsi="Corbel"/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:rsidR="00CC5E12" w:rsidRPr="00FE6E44" w:rsidRDefault="00786EC6" w:rsidP="00786E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lang w:val="pl-PL"/>
              </w:rPr>
            </w:pPr>
            <w:r w:rsidRPr="00FE6E44">
              <w:rPr>
                <w:rFonts w:ascii="Corbel" w:hAnsi="Corbel"/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0"/>
          <w:szCs w:val="20"/>
        </w:rPr>
      </w:pPr>
    </w:p>
    <w:p w:rsidR="00CC5E12" w:rsidRPr="00FE6E44" w:rsidRDefault="00FE6E44" w:rsidP="00CC5E1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  <w:b w:val="0"/>
        </w:rPr>
        <w:br w:type="column"/>
      </w:r>
      <w:r w:rsidR="00CC5E12" w:rsidRPr="00FE6E44">
        <w:rPr>
          <w:rFonts w:ascii="Corbel" w:hAnsi="Corbel"/>
          <w:b w:val="0"/>
        </w:rPr>
        <w:lastRenderedPageBreak/>
        <w:t xml:space="preserve">3.2 </w:t>
      </w:r>
      <w:r w:rsidR="00CC5E12" w:rsidRPr="00FE6E44">
        <w:rPr>
          <w:rFonts w:ascii="Corbel" w:hAnsi="Corbel"/>
        </w:rPr>
        <w:t xml:space="preserve">Efekty </w:t>
      </w:r>
      <w:r>
        <w:rPr>
          <w:rFonts w:ascii="Corbel" w:hAnsi="Corbel"/>
        </w:rPr>
        <w:t>uczenia się</w:t>
      </w:r>
      <w:r w:rsidR="00CC5E12" w:rsidRPr="00FE6E44">
        <w:rPr>
          <w:rFonts w:ascii="Corbel" w:hAnsi="Corbel"/>
        </w:rPr>
        <w:t xml:space="preserve"> dla przedmiotu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79"/>
        <w:gridCol w:w="1863"/>
      </w:tblGrid>
      <w:tr w:rsidR="00CC5E12" w:rsidRPr="00FE6E44" w:rsidTr="00FE6E44">
        <w:tc>
          <w:tcPr>
            <w:tcW w:w="1701" w:type="dxa"/>
          </w:tcPr>
          <w:p w:rsidR="00CC5E12" w:rsidRPr="00FE6E44" w:rsidRDefault="006B04A7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FE6E44">
              <w:rPr>
                <w:rFonts w:ascii="Corbel" w:hAnsi="Corbel"/>
                <w:smallCaps w:val="0"/>
                <w:szCs w:val="24"/>
              </w:rPr>
              <w:t>EK</w:t>
            </w:r>
            <w:r w:rsidRPr="00FE6E4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6E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277EC0" w:rsidRPr="00FE6E4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FE6E4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</w:tcPr>
          <w:p w:rsidR="00CC5E12" w:rsidRPr="00FE6E44" w:rsidRDefault="006B04A7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6E44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FE6E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E6E44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C5E12" w:rsidRPr="00FE6E44" w:rsidRDefault="00554C46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charakteryzuje ewolucję modelu ochrony konsumenta w UE</w:t>
            </w:r>
          </w:p>
        </w:tc>
        <w:tc>
          <w:tcPr>
            <w:tcW w:w="1873" w:type="dxa"/>
          </w:tcPr>
          <w:p w:rsidR="00A74850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K_W05, K_U05, K_U08, </w:t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wymienia katalog praw konsumentów oraz je charakteryzuje</w:t>
            </w:r>
          </w:p>
        </w:tc>
        <w:tc>
          <w:tcPr>
            <w:tcW w:w="1873" w:type="dxa"/>
          </w:tcPr>
          <w:p w:rsidR="00CC5E1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K_W05</w:t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73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K_W</w:t>
            </w:r>
            <w:r w:rsidR="00FE6E44">
              <w:rPr>
                <w:rFonts w:ascii="Corbel" w:eastAsia="Cambria" w:hAnsi="Corbel"/>
                <w:b w:val="0"/>
                <w:sz w:val="22"/>
              </w:rPr>
              <w:t>0</w:t>
            </w:r>
            <w:r w:rsidRPr="00FE6E44">
              <w:rPr>
                <w:rFonts w:ascii="Corbel" w:eastAsia="Cambria" w:hAnsi="Corbel"/>
                <w:b w:val="0"/>
                <w:sz w:val="22"/>
              </w:rPr>
              <w:t>3</w:t>
            </w:r>
          </w:p>
        </w:tc>
      </w:tr>
      <w:tr w:rsidR="00CC5E12" w:rsidRPr="00FE6E44" w:rsidTr="00FE6E44">
        <w:tc>
          <w:tcPr>
            <w:tcW w:w="1701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C5E1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wymienia poszczególne dziedziny podlegające ochronie</w:t>
            </w:r>
          </w:p>
        </w:tc>
        <w:tc>
          <w:tcPr>
            <w:tcW w:w="1873" w:type="dxa"/>
          </w:tcPr>
          <w:p w:rsidR="00CC5E12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prezentuje regulacje prawne dotyczące poszczególnych sfer podlegających ochronie</w:t>
            </w:r>
          </w:p>
        </w:tc>
        <w:tc>
          <w:tcPr>
            <w:tcW w:w="1873" w:type="dxa"/>
          </w:tcPr>
          <w:p w:rsidR="00A60B3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K_W04, K_W05</w:t>
            </w:r>
            <w:r w:rsidR="00952543" w:rsidRPr="00FE6E44">
              <w:rPr>
                <w:rFonts w:ascii="Corbel" w:hAnsi="Corbel"/>
                <w:b w:val="0"/>
                <w:smallCaps w:val="0"/>
                <w:sz w:val="22"/>
              </w:rPr>
              <w:t>, K_U13, K_K06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analizuje praktyczne aspekty funkcjonowania przepisów chroniących prawa konsumentów</w:t>
            </w:r>
          </w:p>
        </w:tc>
        <w:tc>
          <w:tcPr>
            <w:tcW w:w="1873" w:type="dxa"/>
          </w:tcPr>
          <w:p w:rsidR="00A60B3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K_U13, K_U16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analizuje orzecznictwo ETS związane z ochroną praw konsumentów</w:t>
            </w:r>
          </w:p>
        </w:tc>
        <w:tc>
          <w:tcPr>
            <w:tcW w:w="1873" w:type="dxa"/>
          </w:tcPr>
          <w:p w:rsidR="00A60B32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A60B32" w:rsidRPr="00FE6E44" w:rsidTr="00FE6E44">
        <w:tc>
          <w:tcPr>
            <w:tcW w:w="1701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A60B32" w:rsidRPr="00FE6E44" w:rsidRDefault="00A60B3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ocenia skuteczność przepisów chroniących prawa konsumentów</w:t>
            </w:r>
          </w:p>
        </w:tc>
        <w:tc>
          <w:tcPr>
            <w:tcW w:w="1873" w:type="dxa"/>
          </w:tcPr>
          <w:p w:rsidR="00A60B32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8141DF" w:rsidRPr="00FE6E44" w:rsidTr="00FE6E44">
        <w:trPr>
          <w:trHeight w:val="694"/>
        </w:trPr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kwalifikuje przypadki naruszenia praw konsumentów i sankcje z tego tytułu</w:t>
            </w:r>
          </w:p>
        </w:tc>
        <w:tc>
          <w:tcPr>
            <w:tcW w:w="1873" w:type="dxa"/>
          </w:tcPr>
          <w:p w:rsidR="00952543" w:rsidRPr="00FE6E44" w:rsidRDefault="008141DF" w:rsidP="008141D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E6E44">
              <w:rPr>
                <w:rFonts w:ascii="Corbel" w:eastAsia="Cambria" w:hAnsi="Corbel"/>
              </w:rPr>
              <w:t>K_U</w:t>
            </w:r>
            <w:r w:rsidR="00FE6E44">
              <w:rPr>
                <w:rFonts w:ascii="Corbel" w:eastAsia="Cambria" w:hAnsi="Corbel"/>
              </w:rPr>
              <w:t>0</w:t>
            </w:r>
            <w:r w:rsidRPr="00FE6E44">
              <w:rPr>
                <w:rFonts w:ascii="Corbel" w:eastAsia="Cambria" w:hAnsi="Corbel"/>
              </w:rPr>
              <w:t>2</w:t>
            </w:r>
            <w:r w:rsidR="00952543" w:rsidRPr="00FE6E44">
              <w:rPr>
                <w:rFonts w:ascii="Corbel" w:eastAsia="Cambria" w:hAnsi="Corbel"/>
              </w:rPr>
              <w:t xml:space="preserve">, </w:t>
            </w:r>
            <w:r w:rsidRPr="00FE6E44">
              <w:rPr>
                <w:rFonts w:ascii="Corbel" w:eastAsia="Cambria" w:hAnsi="Corbel"/>
              </w:rPr>
              <w:t>K_U</w:t>
            </w:r>
            <w:r w:rsidR="00FE6E44">
              <w:rPr>
                <w:rFonts w:ascii="Corbel" w:eastAsia="Cambria" w:hAnsi="Corbel"/>
              </w:rPr>
              <w:t>0</w:t>
            </w:r>
            <w:r w:rsidRPr="00FE6E44">
              <w:rPr>
                <w:rFonts w:ascii="Corbel" w:eastAsia="Cambria" w:hAnsi="Corbel"/>
              </w:rPr>
              <w:t>7</w:t>
            </w:r>
            <w:r w:rsidR="00952543" w:rsidRPr="00FE6E44">
              <w:rPr>
                <w:rFonts w:ascii="Corbel" w:eastAsia="Cambria" w:hAnsi="Corbel"/>
              </w:rPr>
              <w:t xml:space="preserve">, </w:t>
            </w:r>
            <w:r w:rsidR="00952543" w:rsidRPr="00FE6E44">
              <w:rPr>
                <w:rFonts w:ascii="Corbel" w:hAnsi="Corbel"/>
                <w:bCs/>
                <w:smallCaps/>
              </w:rPr>
              <w:t>K_U08, K_U16, K_K06</w:t>
            </w:r>
          </w:p>
        </w:tc>
      </w:tr>
      <w:tr w:rsidR="008141DF" w:rsidRPr="00FE6E44" w:rsidTr="00FE6E44"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dyskutuje o wadach i zaletach systemu ochrony praw konsumentów na szczeblu UE</w:t>
            </w:r>
          </w:p>
        </w:tc>
        <w:tc>
          <w:tcPr>
            <w:tcW w:w="1873" w:type="dxa"/>
          </w:tcPr>
          <w:p w:rsidR="008141DF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w:rsidR="008141DF" w:rsidRPr="00FE6E44" w:rsidTr="00FE6E44"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z w:val="22"/>
              </w:rPr>
              <w:t>zachowuje krytycyzm w ocenie rozwiązań legislacyjnych dotyczących ochrony praw konsumentów</w:t>
            </w:r>
          </w:p>
        </w:tc>
        <w:tc>
          <w:tcPr>
            <w:tcW w:w="1873" w:type="dxa"/>
          </w:tcPr>
          <w:p w:rsidR="008141DF" w:rsidRPr="00FE6E44" w:rsidRDefault="00A74850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  <w:r w:rsidR="00952543" w:rsidRPr="00FE6E44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  <w:p w:rsidR="00952543" w:rsidRPr="00FE6E44" w:rsidRDefault="00952543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K_U08, K_U13, K_U16, K_K06</w:t>
            </w:r>
          </w:p>
        </w:tc>
      </w:tr>
      <w:tr w:rsidR="008141DF" w:rsidRPr="00FE6E44" w:rsidTr="00FE6E44">
        <w:tc>
          <w:tcPr>
            <w:tcW w:w="1701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2"/>
              </w:rPr>
            </w:pPr>
            <w:r w:rsidRPr="00FE6E44">
              <w:rPr>
                <w:rFonts w:ascii="Corbel" w:eastAsia="Cambria" w:hAnsi="Corbel"/>
                <w:b w:val="0"/>
                <w:smallCaps w:val="0"/>
                <w:sz w:val="22"/>
              </w:rPr>
              <w:t>zachowuje krytycyzm w ocenie praktyki funkcjonowania przepisów chroniących prawa konsumentów</w:t>
            </w:r>
          </w:p>
        </w:tc>
        <w:tc>
          <w:tcPr>
            <w:tcW w:w="1873" w:type="dxa"/>
          </w:tcPr>
          <w:p w:rsidR="008141DF" w:rsidRPr="00FE6E44" w:rsidRDefault="00A74850" w:rsidP="00CC5E12">
            <w:pPr>
              <w:pStyle w:val="Punktygwne"/>
              <w:spacing w:before="0" w:after="0"/>
              <w:rPr>
                <w:rFonts w:ascii="Corbel" w:eastAsia="Cambria" w:hAnsi="Corbel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K_U05</w:t>
            </w:r>
            <w:r w:rsidR="00952543" w:rsidRPr="00FE6E44">
              <w:rPr>
                <w:rFonts w:ascii="Corbel" w:hAnsi="Corbel"/>
                <w:b w:val="0"/>
                <w:smallCaps w:val="0"/>
                <w:sz w:val="22"/>
              </w:rPr>
              <w:t>, K_U13, K_K06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FE6E44" w:rsidRDefault="00CC5E12" w:rsidP="00CC5E12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FE6E44">
        <w:rPr>
          <w:rFonts w:ascii="Corbel" w:hAnsi="Corbel"/>
          <w:b/>
        </w:rPr>
        <w:t>TREŚCI PROGRAMOWE</w:t>
      </w:r>
    </w:p>
    <w:p w:rsidR="00CC5E1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FE6E44">
        <w:rPr>
          <w:rFonts w:ascii="Corbel" w:hAnsi="Corbel"/>
        </w:rPr>
        <w:t xml:space="preserve">Problematyka wykładu </w:t>
      </w:r>
    </w:p>
    <w:p w:rsidR="00FE6E44" w:rsidRPr="00FE6E44" w:rsidRDefault="00FE6E44" w:rsidP="00FE6E4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C5E12" w:rsidRPr="00FE6E44" w:rsidTr="00FE6E44">
        <w:tc>
          <w:tcPr>
            <w:tcW w:w="9356" w:type="dxa"/>
          </w:tcPr>
          <w:p w:rsidR="00CC5E12" w:rsidRPr="00FE6E44" w:rsidRDefault="00CC5E12" w:rsidP="00277EC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Treści merytoryczne</w:t>
            </w:r>
          </w:p>
        </w:tc>
      </w:tr>
      <w:tr w:rsidR="00CC5E12" w:rsidRPr="00FE6E44" w:rsidTr="00FE6E44">
        <w:tc>
          <w:tcPr>
            <w:tcW w:w="9356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80"/>
              <w:gridCol w:w="859"/>
            </w:tblGrid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W1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Poj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ę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W2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Ewolucja ochrony konsumenta w prawie unijnym 2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  <w:r w:rsidR="00641E21"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Europejskiej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W3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W4</w:t>
                  </w: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-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Ogólne bezpiecze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ń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stwo produktów 2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ż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:rsidR="00786EC6" w:rsidRPr="00FE6E44" w:rsidRDefault="00786EC6" w:rsidP="00277EC0">
                  <w:pPr>
                    <w:pStyle w:val="Bezodstpw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W5-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dotycz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ywno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W6-</w:t>
                  </w:r>
                  <w:r w:rsidRPr="00FE6E44">
                    <w:rPr>
                      <w:rFonts w:ascii="Corbel" w:hAnsi="Corbel"/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00FE6E44">
                    <w:rPr>
                      <w:rFonts w:ascii="Corbel" w:hAnsi="Corbel"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y 2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ę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W7-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Ochrona konsumenta w dziedzinie turystyki 1 godz.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7.1. T</w:t>
                  </w:r>
                  <w:r w:rsid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i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mesharing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lastRenderedPageBreak/>
                    <w:t>W8-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FE6E44">
                    <w:rPr>
                      <w:rFonts w:ascii="Corbel" w:hAnsi="Corbel" w:cs="Times-Bold"/>
                      <w:b/>
                      <w:bCs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proofErr w:type="spellStart"/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Ponadgranicznej</w:t>
                  </w:r>
                  <w:proofErr w:type="spellEnd"/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:rsidR="00786EC6" w:rsidRPr="00FE6E44" w:rsidRDefault="00786EC6" w:rsidP="00277E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00FE6E44">
                    <w:rPr>
                      <w:rFonts w:ascii="Corbel" w:hAnsi="Corbel"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FE6E44">
                    <w:rPr>
                      <w:rFonts w:ascii="Corbel" w:hAnsi="Corbel"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sz w:val="18"/>
                      <w:szCs w:val="18"/>
                    </w:rPr>
                    <w:t>4</w:t>
                  </w:r>
                </w:p>
              </w:tc>
            </w:tr>
            <w:tr w:rsidR="00786EC6" w:rsidRPr="00FE6E44" w:rsidTr="00FE6E44">
              <w:trPr>
                <w:jc w:val="center"/>
              </w:trPr>
              <w:tc>
                <w:tcPr>
                  <w:tcW w:w="4479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521" w:type="pct"/>
                  <w:shd w:val="clear" w:color="auto" w:fill="FFFFFF"/>
                </w:tcPr>
                <w:p w:rsidR="00786EC6" w:rsidRPr="00FE6E44" w:rsidRDefault="00786EC6" w:rsidP="00277EC0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  <w:b/>
                      <w:sz w:val="18"/>
                      <w:szCs w:val="18"/>
                    </w:rPr>
                  </w:pPr>
                  <w:r w:rsidRPr="00FE6E44">
                    <w:rPr>
                      <w:rFonts w:ascii="Corbel" w:hAnsi="Corbel"/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="00CC5E12" w:rsidRPr="00FE6E44" w:rsidRDefault="00CC5E12" w:rsidP="00277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CC5E12" w:rsidRDefault="00CC5E12" w:rsidP="00FE6E44">
      <w:pPr>
        <w:pStyle w:val="Akapitzlist"/>
        <w:numPr>
          <w:ilvl w:val="0"/>
          <w:numId w:val="2"/>
        </w:numPr>
        <w:spacing w:before="240"/>
        <w:jc w:val="both"/>
        <w:rPr>
          <w:rFonts w:ascii="Corbel" w:hAnsi="Corbel"/>
        </w:rPr>
      </w:pPr>
      <w:r w:rsidRPr="00FE6E44">
        <w:rPr>
          <w:rFonts w:ascii="Corbel" w:hAnsi="Corbel"/>
        </w:rPr>
        <w:lastRenderedPageBreak/>
        <w:t xml:space="preserve">Problematyka ćwiczeń audytoryjnych, konwersatoryjnych, </w:t>
      </w:r>
      <w:r w:rsidR="007C777F" w:rsidRPr="00FE6E44">
        <w:rPr>
          <w:rFonts w:ascii="Corbel" w:hAnsi="Corbel"/>
        </w:rPr>
        <w:t>laboratoryjnych, zajęć</w:t>
      </w:r>
      <w:r w:rsidRPr="00FE6E44">
        <w:rPr>
          <w:rFonts w:ascii="Corbel" w:hAnsi="Corbel"/>
        </w:rPr>
        <w:t xml:space="preserve"> praktycznych </w:t>
      </w:r>
    </w:p>
    <w:p w:rsidR="00FE6E44" w:rsidRPr="00FE6E44" w:rsidRDefault="00FE6E44" w:rsidP="00FE6E44">
      <w:pPr>
        <w:pStyle w:val="Akapitzlist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FE6E44" w:rsidTr="00FE6E44">
        <w:tc>
          <w:tcPr>
            <w:tcW w:w="7229" w:type="dxa"/>
          </w:tcPr>
          <w:p w:rsidR="00CC5E12" w:rsidRPr="00FE6E44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Treści merytoryczne</w:t>
            </w:r>
          </w:p>
        </w:tc>
      </w:tr>
      <w:tr w:rsidR="00CC5E12" w:rsidRPr="00FE6E44" w:rsidTr="00FE6E44">
        <w:tc>
          <w:tcPr>
            <w:tcW w:w="7229" w:type="dxa"/>
          </w:tcPr>
          <w:p w:rsidR="00CC5E12" w:rsidRPr="00FE6E44" w:rsidRDefault="00FE6E44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C5E12" w:rsidRPr="00FE6E44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  <w:r w:rsidRPr="00FE6E44">
        <w:rPr>
          <w:rFonts w:ascii="Corbel" w:hAnsi="Corbel"/>
          <w:smallCaps w:val="0"/>
          <w:sz w:val="22"/>
        </w:rPr>
        <w:t>METODY DYDAKTYCZNE</w:t>
      </w:r>
      <w:r w:rsidRPr="00FE6E44">
        <w:rPr>
          <w:rFonts w:ascii="Corbel" w:hAnsi="Corbel"/>
          <w:b w:val="0"/>
          <w:smallCaps w:val="0"/>
          <w:sz w:val="22"/>
        </w:rPr>
        <w:t xml:space="preserve"> 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FE6E44" w:rsidRDefault="00786EC6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FE6E44">
        <w:rPr>
          <w:rFonts w:ascii="Corbel" w:hAnsi="Corbel"/>
          <w:b w:val="0"/>
          <w:smallCaps w:val="0"/>
          <w:sz w:val="22"/>
        </w:rPr>
        <w:t>Wykład konwersatoryjny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FE6E44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 w:val="22"/>
        </w:rPr>
      </w:pPr>
      <w:r w:rsidRPr="00FE6E44">
        <w:rPr>
          <w:rFonts w:ascii="Corbel" w:hAnsi="Corbel"/>
          <w:smallCaps w:val="0"/>
          <w:sz w:val="22"/>
        </w:rPr>
        <w:t>METODY I KRYTERIA OCENY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E6E44">
        <w:rPr>
          <w:rFonts w:ascii="Corbel" w:hAnsi="Corbel"/>
          <w:b w:val="0"/>
          <w:smallCaps w:val="0"/>
          <w:sz w:val="22"/>
        </w:rPr>
        <w:t xml:space="preserve">4.1 Sposoby weryfikacji efektów </w:t>
      </w:r>
      <w:r w:rsidR="00FE6E44">
        <w:rPr>
          <w:rFonts w:ascii="Corbel" w:hAnsi="Corbel"/>
          <w:b w:val="0"/>
          <w:smallCaps w:val="0"/>
          <w:sz w:val="22"/>
        </w:rPr>
        <w:t xml:space="preserve">uczenia się 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4"/>
        <w:gridCol w:w="2191"/>
      </w:tblGrid>
      <w:tr w:rsidR="00CC5E12" w:rsidRPr="00FE6E44" w:rsidTr="00FE6E44">
        <w:tc>
          <w:tcPr>
            <w:tcW w:w="1915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4874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FE6E4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uczenia się </w:t>
            </w:r>
          </w:p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1" w:type="dxa"/>
          </w:tcPr>
          <w:p w:rsid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FE6E44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FE6E44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C5E12" w:rsidRPr="00FE6E44" w:rsidTr="00FE6E44">
        <w:tc>
          <w:tcPr>
            <w:tcW w:w="1915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FE6E44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E6E44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4" w:type="dxa"/>
          </w:tcPr>
          <w:p w:rsidR="00CC5E12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FE6E4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CC5E12" w:rsidRPr="00FE6E44" w:rsidTr="00FE6E44">
        <w:tc>
          <w:tcPr>
            <w:tcW w:w="1915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4" w:type="dxa"/>
          </w:tcPr>
          <w:p w:rsidR="00CC5E12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CC5E12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874" w:type="dxa"/>
          </w:tcPr>
          <w:p w:rsidR="008141DF" w:rsidRPr="00FE6E4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  <w:r w:rsidRPr="00FE6E44">
              <w:rPr>
                <w:rFonts w:ascii="Corbel" w:hAnsi="Corbel"/>
                <w:b w:val="0"/>
                <w:sz w:val="22"/>
              </w:rPr>
              <w:tab/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874" w:type="dxa"/>
          </w:tcPr>
          <w:p w:rsidR="008141DF" w:rsidRPr="00FE6E4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874" w:type="dxa"/>
          </w:tcPr>
          <w:p w:rsidR="008141DF" w:rsidRPr="00FE6E44" w:rsidRDefault="008141DF" w:rsidP="008141DF">
            <w:pPr>
              <w:pStyle w:val="Punktygwne"/>
              <w:tabs>
                <w:tab w:val="left" w:pos="526"/>
              </w:tabs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4874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EK_11</w:t>
            </w:r>
          </w:p>
        </w:tc>
        <w:tc>
          <w:tcPr>
            <w:tcW w:w="4874" w:type="dxa"/>
          </w:tcPr>
          <w:p w:rsidR="008141DF" w:rsidRPr="00FE6E4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8141DF" w:rsidRPr="00FE6E44" w:rsidTr="00FE6E44">
        <w:tc>
          <w:tcPr>
            <w:tcW w:w="1915" w:type="dxa"/>
          </w:tcPr>
          <w:p w:rsidR="008141DF" w:rsidRPr="00FE6E44" w:rsidRDefault="008141DF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EK_12</w:t>
            </w:r>
          </w:p>
        </w:tc>
        <w:tc>
          <w:tcPr>
            <w:tcW w:w="4874" w:type="dxa"/>
          </w:tcPr>
          <w:p w:rsidR="008141DF" w:rsidRPr="00FE6E44" w:rsidRDefault="00D839AE" w:rsidP="00CC5E1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i/>
                <w:sz w:val="22"/>
              </w:rPr>
              <w:t>EGZAMIN PISEMNY</w:t>
            </w:r>
          </w:p>
        </w:tc>
        <w:tc>
          <w:tcPr>
            <w:tcW w:w="2191" w:type="dxa"/>
          </w:tcPr>
          <w:p w:rsidR="008141DF" w:rsidRPr="00FE6E44" w:rsidRDefault="00D839AE" w:rsidP="00D839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E6E44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Default="00CC5E12" w:rsidP="00CC5E12">
      <w:pPr>
        <w:pStyle w:val="Punktygwne"/>
        <w:spacing w:before="0" w:after="0"/>
        <w:rPr>
          <w:rFonts w:ascii="Corbel" w:hAnsi="Corbel"/>
          <w:bCs/>
          <w:smallCaps w:val="0"/>
          <w:color w:val="000000"/>
          <w:sz w:val="22"/>
        </w:rPr>
      </w:pPr>
      <w:r w:rsidRPr="00FE6E44">
        <w:rPr>
          <w:rFonts w:ascii="Corbel" w:hAnsi="Corbel"/>
          <w:bCs/>
          <w:smallCaps w:val="0"/>
          <w:sz w:val="22"/>
        </w:rPr>
        <w:t xml:space="preserve">4.2 Warunki zaliczenia przedmiotu </w:t>
      </w:r>
      <w:r w:rsidRPr="00FE6E44">
        <w:rPr>
          <w:rFonts w:ascii="Corbel" w:hAnsi="Corbel"/>
          <w:bCs/>
          <w:smallCaps w:val="0"/>
          <w:color w:val="000000"/>
          <w:sz w:val="22"/>
        </w:rPr>
        <w:t>(kryteria oceniania)</w:t>
      </w:r>
    </w:p>
    <w:p w:rsidR="00FE6E44" w:rsidRPr="00FE6E44" w:rsidRDefault="00FE6E44" w:rsidP="00CC5E12">
      <w:pPr>
        <w:pStyle w:val="Punktygwne"/>
        <w:spacing w:before="0" w:after="0"/>
        <w:rPr>
          <w:rFonts w:ascii="Corbel" w:hAnsi="Corbel"/>
          <w:bCs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FE6E44" w:rsidTr="00FE6E44">
        <w:tc>
          <w:tcPr>
            <w:tcW w:w="8980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  <w:p w:rsidR="00786EC6" w:rsidRPr="00FE6E4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FE6E44">
              <w:rPr>
                <w:rFonts w:ascii="Corbel" w:eastAsia="Cambria" w:hAnsi="Corbel"/>
              </w:rPr>
              <w:t xml:space="preserve">Zaliczenie pisemne, na które składa się </w:t>
            </w:r>
            <w:r w:rsidR="007C777F" w:rsidRPr="00FE6E44">
              <w:rPr>
                <w:rFonts w:ascii="Corbel" w:eastAsia="Cambria" w:hAnsi="Corbel"/>
              </w:rPr>
              <w:t>z</w:t>
            </w:r>
            <w:r w:rsidRPr="00FE6E44">
              <w:rPr>
                <w:rFonts w:ascii="Corbel" w:eastAsia="Cambria" w:hAnsi="Corbel"/>
              </w:rPr>
              <w:t xml:space="preserve"> 5 pytań otwartych.</w:t>
            </w:r>
          </w:p>
          <w:p w:rsidR="00786EC6" w:rsidRPr="00FE6E44" w:rsidRDefault="00786EC6" w:rsidP="00786EC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FE6E44">
              <w:rPr>
                <w:rFonts w:ascii="Corbel" w:eastAsia="Cambria" w:hAnsi="Corbel"/>
              </w:rPr>
              <w:t>Warunkiem uzyskania zaliczenia jest udzielenie wyczerpującej odpowiedzi na 3 pytania</w:t>
            </w:r>
          </w:p>
          <w:p w:rsidR="00CC5E12" w:rsidRPr="00FE6E44" w:rsidRDefault="00786EC6" w:rsidP="00786EC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FE6E44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  <w:p w:rsidR="00786EC6" w:rsidRPr="00FE6E44" w:rsidRDefault="00786EC6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</w:tr>
    </w:tbl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FE6E44" w:rsidRDefault="00FE6E44" w:rsidP="00CC5E12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CC5E12" w:rsidRPr="00FE6E44">
        <w:rPr>
          <w:rFonts w:ascii="Corbel" w:hAnsi="Corbel"/>
          <w:smallCaps w:val="0"/>
          <w:sz w:val="22"/>
        </w:rPr>
        <w:lastRenderedPageBreak/>
        <w:t>5. Całkowity nakład pracy studenta potrzebny do osiągnięcia założonych efektów w godzinach oraz punktach ECTS</w:t>
      </w:r>
    </w:p>
    <w:p w:rsidR="00CC5E12" w:rsidRPr="00FE6E44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3497"/>
      </w:tblGrid>
      <w:tr w:rsidR="00FE6E44" w:rsidRPr="00FE6E44" w:rsidTr="00B264DC">
        <w:tc>
          <w:tcPr>
            <w:tcW w:w="4612" w:type="dxa"/>
            <w:vAlign w:val="center"/>
          </w:tcPr>
          <w:p w:rsidR="00FE6E44" w:rsidRPr="00FE6E44" w:rsidRDefault="00FE6E44" w:rsidP="00FE6E4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6E4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97" w:type="dxa"/>
            <w:vAlign w:val="center"/>
          </w:tcPr>
          <w:p w:rsidR="00FE6E44" w:rsidRPr="00FE6E44" w:rsidRDefault="00FE6E44" w:rsidP="00FE6E4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6E44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Wykład – 15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5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10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E6E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30 godz.</w:t>
            </w:r>
          </w:p>
        </w:tc>
      </w:tr>
      <w:tr w:rsidR="00FE6E44" w:rsidRPr="00FE6E44" w:rsidTr="00B264DC">
        <w:tc>
          <w:tcPr>
            <w:tcW w:w="4612" w:type="dxa"/>
          </w:tcPr>
          <w:p w:rsidR="00FE6E44" w:rsidRPr="00FE6E44" w:rsidRDefault="00FE6E44" w:rsidP="00FE6E44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E6E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97" w:type="dxa"/>
          </w:tcPr>
          <w:p w:rsidR="00FE6E44" w:rsidRPr="00FE6E44" w:rsidRDefault="00FE6E44" w:rsidP="00FE6E44">
            <w:pPr>
              <w:spacing w:after="120" w:line="240" w:lineRule="auto"/>
              <w:contextualSpacing/>
              <w:jc w:val="center"/>
              <w:rPr>
                <w:rFonts w:ascii="Corbel" w:hAnsi="Corbel"/>
              </w:rPr>
            </w:pPr>
            <w:r w:rsidRPr="00FE6E44">
              <w:rPr>
                <w:rFonts w:ascii="Corbel" w:hAnsi="Corbel"/>
              </w:rPr>
              <w:t>1</w:t>
            </w:r>
          </w:p>
        </w:tc>
      </w:tr>
    </w:tbl>
    <w:p w:rsidR="00EA7093" w:rsidRPr="00EA7093" w:rsidRDefault="00EA7093" w:rsidP="00EA7093">
      <w:pPr>
        <w:pStyle w:val="Podpunkty"/>
        <w:spacing w:after="100" w:afterAutospacing="1"/>
        <w:ind w:left="0"/>
        <w:rPr>
          <w:rFonts w:ascii="Corbel" w:hAnsi="Corbel"/>
          <w:b w:val="0"/>
          <w:szCs w:val="24"/>
        </w:rPr>
      </w:pPr>
      <w:r w:rsidRPr="00EA7093">
        <w:rPr>
          <w:rFonts w:ascii="Corbel" w:hAnsi="Corbel"/>
          <w:b w:val="0"/>
          <w:smallCaps/>
          <w:sz w:val="16"/>
        </w:rPr>
        <w:t>*</w:t>
      </w:r>
      <w:r w:rsidRPr="00EA7093">
        <w:rPr>
          <w:rFonts w:ascii="Corbel" w:hAnsi="Corbel"/>
          <w:b w:val="0"/>
          <w:i/>
          <w:szCs w:val="24"/>
        </w:rPr>
        <w:t>-opcjonalni</w:t>
      </w:r>
      <w:r w:rsidRPr="00EA7093">
        <w:rPr>
          <w:rFonts w:ascii="Corbel" w:hAnsi="Corbel"/>
          <w:b w:val="0"/>
          <w:szCs w:val="24"/>
        </w:rPr>
        <w:t xml:space="preserve">e, </w:t>
      </w:r>
      <w:r w:rsidRPr="00EA7093">
        <w:rPr>
          <w:rFonts w:ascii="Corbel" w:hAnsi="Corbel"/>
          <w:b w:val="0"/>
          <w:i/>
          <w:szCs w:val="24"/>
        </w:rPr>
        <w:t>zgodnie z ustaleniami w Jednostce</w:t>
      </w:r>
    </w:p>
    <w:p w:rsidR="00CC5E12" w:rsidRDefault="00CC5E12" w:rsidP="00CC5E12">
      <w:pPr>
        <w:pStyle w:val="Punktygwne"/>
        <w:numPr>
          <w:ilvl w:val="0"/>
          <w:numId w:val="5"/>
        </w:numPr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  <w:r w:rsidRPr="00FE6E44">
        <w:rPr>
          <w:rFonts w:ascii="Corbel" w:hAnsi="Corbel"/>
          <w:smallCaps w:val="0"/>
          <w:sz w:val="20"/>
          <w:szCs w:val="20"/>
        </w:rPr>
        <w:t>PRAKTYKI ZAWODOWE W RAMACH PRZEDMIOTU</w:t>
      </w:r>
    </w:p>
    <w:p w:rsidR="00FE6E44" w:rsidRPr="00FE6E44" w:rsidRDefault="00FE6E44" w:rsidP="00FE6E44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E6E44" w:rsidRPr="00FE6E44" w:rsidTr="00FE6E44">
        <w:tc>
          <w:tcPr>
            <w:tcW w:w="3544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FE6E44" w:rsidRPr="00FE6E44" w:rsidTr="00FE6E44">
        <w:tc>
          <w:tcPr>
            <w:tcW w:w="3544" w:type="dxa"/>
          </w:tcPr>
          <w:p w:rsidR="00CC5E12" w:rsidRPr="00FE6E4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E6E44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CC5E12" w:rsidRPr="00FE6E4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CC5E1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2"/>
        </w:rPr>
      </w:pPr>
      <w:r w:rsidRPr="00FE6E44">
        <w:rPr>
          <w:rFonts w:ascii="Corbel" w:hAnsi="Corbel"/>
          <w:smallCaps w:val="0"/>
          <w:sz w:val="22"/>
        </w:rPr>
        <w:t>LITERATURA</w:t>
      </w:r>
    </w:p>
    <w:p w:rsidR="00FE6E44" w:rsidRPr="00FE6E44" w:rsidRDefault="00FE6E44" w:rsidP="00FE6E44">
      <w:pPr>
        <w:pStyle w:val="Punktygwne"/>
        <w:spacing w:before="0" w:after="0"/>
        <w:ind w:left="72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FE6E44" w:rsidTr="00FE6E44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FE6E44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FE6E44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C10F70" w:rsidRPr="00FE6E44" w:rsidRDefault="00C10F70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K.</w:t>
            </w:r>
            <w:r w:rsidR="005E3D35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Osajda</w:t>
            </w:r>
            <w:proofErr w:type="spellEnd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Prawo konsumenckie.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Komentarz,Warszawa</w:t>
            </w:r>
            <w:proofErr w:type="spellEnd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2019</w:t>
            </w:r>
            <w:r w:rsidR="00A26659" w:rsidRPr="00FE6E44">
              <w:rPr>
                <w:rFonts w:ascii="Corbel" w:hAnsi="Corbel" w:cs="Calibri"/>
                <w:b w:val="0"/>
                <w:smallCaps w:val="0"/>
                <w:sz w:val="22"/>
              </w:rPr>
              <w:t>;</w:t>
            </w:r>
          </w:p>
          <w:p w:rsidR="00CC5E12" w:rsidRPr="00FE6E44" w:rsidRDefault="00C10F70" w:rsidP="0004719D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B.</w:t>
            </w:r>
            <w:r w:rsidR="005E3D35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Gnela</w:t>
            </w:r>
            <w:proofErr w:type="spellEnd"/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,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Prawo konsumenckie w Polsce oraz innych państwach Unii Europejskiej.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Zagadnienia wybrane,</w:t>
            </w:r>
            <w:r w:rsidR="00904A44" w:rsidRPr="00FE6E44">
              <w:rPr>
                <w:rFonts w:ascii="Corbel" w:hAnsi="Corbel" w:cs="Calibri"/>
                <w:b w:val="0"/>
                <w:smallCaps w:val="0"/>
                <w:sz w:val="22"/>
              </w:rPr>
              <w:t xml:space="preserve"> </w:t>
            </w:r>
            <w:r w:rsidRPr="00FE6E44">
              <w:rPr>
                <w:rFonts w:ascii="Corbel" w:hAnsi="Corbel" w:cs="Calibri"/>
                <w:b w:val="0"/>
                <w:smallCaps w:val="0"/>
                <w:sz w:val="22"/>
              </w:rPr>
              <w:t>Warszawa 2019</w:t>
            </w:r>
            <w:r w:rsidR="00A26659" w:rsidRPr="00FE6E44">
              <w:rPr>
                <w:rFonts w:ascii="Corbel" w:hAnsi="Corbel" w:cs="Calibri"/>
                <w:b w:val="0"/>
                <w:smallCaps w:val="0"/>
                <w:sz w:val="22"/>
              </w:rPr>
              <w:t>.</w:t>
            </w:r>
          </w:p>
        </w:tc>
      </w:tr>
      <w:tr w:rsidR="00CC5E12" w:rsidRPr="00FE6E44" w:rsidTr="00FE6E44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FE6E44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FE6E44" w:rsidRPr="00FE6E44" w:rsidRDefault="00FE6E44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Banasi</w:t>
            </w:r>
            <w:r w:rsidRPr="00FE6E44">
              <w:rPr>
                <w:rFonts w:ascii="Corbel" w:eastAsia="Cambria" w:hAnsi="Corbel" w:cs="TT1A0F5o00"/>
                <w:lang w:eastAsia="pl-PL"/>
              </w:rPr>
              <w:t>ń</w:t>
            </w:r>
            <w:r w:rsidRPr="00FE6E44">
              <w:rPr>
                <w:rFonts w:ascii="Corbel" w:eastAsia="Cambria" w:hAnsi="Corbel" w:cs="Times-Roman"/>
                <w:lang w:eastAsia="pl-PL"/>
              </w:rPr>
              <w:t xml:space="preserve">ski C.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Standardy wspólnotowe w polskim prawie ochrony konsumentów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2005,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Gnela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B.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Ochrona konsumenta usług finansowych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Kie</w:t>
            </w:r>
            <w:r w:rsidRPr="00FE6E44">
              <w:rPr>
                <w:rFonts w:ascii="Corbel" w:eastAsia="Cambria" w:hAnsi="Corbel" w:cs="TT1A0F5o00"/>
                <w:lang w:eastAsia="pl-PL"/>
              </w:rPr>
              <w:t>ż</w:t>
            </w:r>
            <w:r w:rsidRPr="00FE6E4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Konsument i jego zachowania na rynku europejskim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2010;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Kie</w:t>
            </w:r>
            <w:r w:rsidRPr="00FE6E44">
              <w:rPr>
                <w:rFonts w:ascii="Corbel" w:eastAsia="Cambria" w:hAnsi="Corbel" w:cs="TT1A0F5o00"/>
                <w:lang w:eastAsia="pl-PL"/>
              </w:rPr>
              <w:t>ż</w:t>
            </w:r>
            <w:r w:rsidRPr="00FE6E44">
              <w:rPr>
                <w:rFonts w:ascii="Corbel" w:eastAsia="Cambria" w:hAnsi="Corbel" w:cs="Times-Roman"/>
                <w:lang w:eastAsia="pl-PL"/>
              </w:rPr>
              <w:t>el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E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2007;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Ł</w:t>
            </w:r>
            <w:r w:rsidRPr="00FE6E44">
              <w:rPr>
                <w:rFonts w:ascii="Corbel" w:eastAsia="Cambria" w:hAnsi="Corbel" w:cs="TT1A0F5o00"/>
                <w:lang w:eastAsia="pl-PL"/>
              </w:rPr>
              <w:t>ę</w:t>
            </w:r>
            <w:r w:rsidRPr="00FE6E44">
              <w:rPr>
                <w:rFonts w:ascii="Corbel" w:eastAsia="Cambria" w:hAnsi="Corbel" w:cs="Times-Roman"/>
                <w:lang w:eastAsia="pl-PL"/>
              </w:rPr>
              <w:t xml:space="preserve">towska E.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Prawo konsumenckie</w:t>
            </w:r>
            <w:r w:rsidRPr="00FE6E44">
              <w:rPr>
                <w:rFonts w:ascii="Corbel" w:eastAsia="Cambria" w:hAnsi="Corbel" w:cs="Times-Roman"/>
                <w:lang w:eastAsia="pl-PL"/>
              </w:rPr>
              <w:t>, Warszawa 2006</w:t>
            </w:r>
            <w:r w:rsidR="00A26659" w:rsidRPr="00FE6E4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proofErr w:type="spellStart"/>
            <w:r w:rsidRPr="00FE6E44">
              <w:rPr>
                <w:rFonts w:ascii="Corbel" w:eastAsia="Cambria" w:hAnsi="Corbel" w:cs="Times-Roman"/>
                <w:lang w:eastAsia="pl-PL"/>
              </w:rPr>
              <w:t>Malarewicz</w:t>
            </w:r>
            <w:proofErr w:type="spellEnd"/>
            <w:r w:rsidRPr="00FE6E44">
              <w:rPr>
                <w:rFonts w:ascii="Corbel" w:eastAsia="Cambria" w:hAnsi="Corbel" w:cs="Times-Roman"/>
                <w:lang w:eastAsia="pl-PL"/>
              </w:rPr>
              <w:t xml:space="preserve"> A.,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Konsument a reklama. Studium cywilnoprawne</w:t>
            </w:r>
            <w:r w:rsidRPr="00FE6E44">
              <w:rPr>
                <w:rFonts w:ascii="Corbel" w:eastAsia="Cambria" w:hAnsi="Corbel" w:cs="Times-Roman"/>
                <w:lang w:eastAsia="pl-PL"/>
              </w:rPr>
              <w:t>. Warszawa 2009;</w:t>
            </w:r>
          </w:p>
          <w:p w:rsidR="00786EC6" w:rsidRPr="00FE6E44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Nowi</w:t>
            </w:r>
            <w:r w:rsidRPr="00FE6E44">
              <w:rPr>
                <w:rFonts w:ascii="Corbel" w:eastAsia="Cambria" w:hAnsi="Corbel" w:cs="TT1A0F5o00"/>
                <w:lang w:eastAsia="pl-PL"/>
              </w:rPr>
              <w:t>ń</w:t>
            </w:r>
            <w:r w:rsidRPr="00FE6E44">
              <w:rPr>
                <w:rFonts w:ascii="Corbel" w:eastAsia="Cambria" w:hAnsi="Corbel" w:cs="Times-Roman"/>
                <w:lang w:eastAsia="pl-PL"/>
              </w:rPr>
              <w:t xml:space="preserve">ska E., Cybula R. [red.], </w:t>
            </w:r>
            <w:r w:rsidRPr="00FE6E44">
              <w:rPr>
                <w:rFonts w:ascii="Corbel" w:eastAsia="Cambria" w:hAnsi="Corbel" w:cs="Times-Italic"/>
                <w:i/>
                <w:iCs/>
                <w:lang w:eastAsia="pl-PL"/>
              </w:rPr>
              <w:t>Europejskie prawo konsumenckie a prawo polskie</w:t>
            </w:r>
            <w:r w:rsidRPr="00FE6E44">
              <w:rPr>
                <w:rFonts w:ascii="Corbel" w:eastAsia="Cambria" w:hAnsi="Corbel" w:cs="Times-Roman"/>
                <w:lang w:eastAsia="pl-PL"/>
              </w:rPr>
              <w:t>, Kraków 2005</w:t>
            </w:r>
            <w:r w:rsidR="00A26659" w:rsidRPr="00FE6E44">
              <w:rPr>
                <w:rFonts w:ascii="Corbel" w:eastAsia="Cambria" w:hAnsi="Corbel" w:cs="Times-Roman"/>
                <w:lang w:eastAsia="pl-PL"/>
              </w:rPr>
              <w:t>;</w:t>
            </w:r>
          </w:p>
          <w:p w:rsidR="00CC5E12" w:rsidRPr="00FE6E44" w:rsidRDefault="00076E3E" w:rsidP="00CC5E1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ascii="Corbel" w:eastAsia="Cambria" w:hAnsi="Corbel" w:cs="Times-Roman"/>
                <w:sz w:val="24"/>
                <w:lang w:eastAsia="pl-PL"/>
              </w:rPr>
            </w:pPr>
            <w:r w:rsidRPr="00FE6E44">
              <w:rPr>
                <w:rFonts w:ascii="Corbel" w:eastAsia="Cambria" w:hAnsi="Corbel" w:cs="Times-Roman"/>
                <w:lang w:eastAsia="pl-PL"/>
              </w:rPr>
              <w:t>Skoczny T. [red.], Ustawa o prawach konsumenta, Warszawa 2015</w:t>
            </w:r>
            <w:r w:rsidR="00A26659" w:rsidRPr="00FE6E44">
              <w:rPr>
                <w:rFonts w:ascii="Corbel" w:eastAsia="Cambria" w:hAnsi="Corbel" w:cs="Times-Roman"/>
                <w:lang w:eastAsia="pl-PL"/>
              </w:rPr>
              <w:t>.</w:t>
            </w:r>
          </w:p>
        </w:tc>
      </w:tr>
    </w:tbl>
    <w:p w:rsidR="00CC5E12" w:rsidRPr="00FE6E44" w:rsidRDefault="00CC5E12" w:rsidP="00FE6E44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FE6E44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  <w:r w:rsidRPr="00FE6E44">
        <w:rPr>
          <w:rFonts w:ascii="Corbel" w:hAnsi="Corbel"/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FE6E44" w:rsidRDefault="00CC5E12" w:rsidP="00CC5E12">
      <w:pPr>
        <w:rPr>
          <w:rFonts w:ascii="Corbel" w:hAnsi="Corbel"/>
        </w:rPr>
      </w:pPr>
    </w:p>
    <w:p w:rsidR="00185992" w:rsidRPr="00FE6E44" w:rsidRDefault="00185992">
      <w:pPr>
        <w:rPr>
          <w:rFonts w:ascii="Corbel" w:hAnsi="Corbel"/>
        </w:rPr>
      </w:pPr>
    </w:p>
    <w:sectPr w:rsidR="00185992" w:rsidRPr="00FE6E44" w:rsidSect="00FE6E44">
      <w:pgSz w:w="11906" w:h="16838"/>
      <w:pgMar w:top="567" w:right="1304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4E5" w:rsidRDefault="002F04E5" w:rsidP="006B04A7">
      <w:pPr>
        <w:spacing w:after="0" w:line="240" w:lineRule="auto"/>
      </w:pPr>
      <w:r>
        <w:separator/>
      </w:r>
    </w:p>
  </w:endnote>
  <w:endnote w:type="continuationSeparator" w:id="0">
    <w:p w:rsidR="002F04E5" w:rsidRDefault="002F04E5" w:rsidP="006B0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charset w:val="00"/>
    <w:family w:val="auto"/>
    <w:pitch w:val="default"/>
  </w:font>
  <w:font w:name="TT1A0F9o00"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4E5" w:rsidRDefault="002F04E5" w:rsidP="006B04A7">
      <w:pPr>
        <w:spacing w:after="0" w:line="240" w:lineRule="auto"/>
      </w:pPr>
      <w:r>
        <w:separator/>
      </w:r>
    </w:p>
  </w:footnote>
  <w:footnote w:type="continuationSeparator" w:id="0">
    <w:p w:rsidR="002F04E5" w:rsidRDefault="002F04E5" w:rsidP="006B04A7">
      <w:pPr>
        <w:spacing w:after="0" w:line="240" w:lineRule="auto"/>
      </w:pPr>
      <w:r>
        <w:continuationSeparator/>
      </w:r>
    </w:p>
  </w:footnote>
  <w:footnote w:id="1">
    <w:p w:rsidR="006B04A7" w:rsidRDefault="006B04A7" w:rsidP="006B04A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40082"/>
    <w:rsid w:val="0004719D"/>
    <w:rsid w:val="00055148"/>
    <w:rsid w:val="00076E3E"/>
    <w:rsid w:val="000A51C9"/>
    <w:rsid w:val="00185992"/>
    <w:rsid w:val="001F486C"/>
    <w:rsid w:val="00207E03"/>
    <w:rsid w:val="00237C15"/>
    <w:rsid w:val="00245D04"/>
    <w:rsid w:val="00277EC0"/>
    <w:rsid w:val="002F04E5"/>
    <w:rsid w:val="004E695D"/>
    <w:rsid w:val="0053135E"/>
    <w:rsid w:val="00554C46"/>
    <w:rsid w:val="00564888"/>
    <w:rsid w:val="005E2A22"/>
    <w:rsid w:val="005E3D35"/>
    <w:rsid w:val="006027BC"/>
    <w:rsid w:val="00641E21"/>
    <w:rsid w:val="006B04A7"/>
    <w:rsid w:val="00762D4E"/>
    <w:rsid w:val="00786EC6"/>
    <w:rsid w:val="007B73EC"/>
    <w:rsid w:val="007C777F"/>
    <w:rsid w:val="007D3B36"/>
    <w:rsid w:val="008141DF"/>
    <w:rsid w:val="00860247"/>
    <w:rsid w:val="00875C1B"/>
    <w:rsid w:val="008A2A05"/>
    <w:rsid w:val="00904A44"/>
    <w:rsid w:val="00910B6D"/>
    <w:rsid w:val="00952543"/>
    <w:rsid w:val="00990463"/>
    <w:rsid w:val="009E00E7"/>
    <w:rsid w:val="00A03368"/>
    <w:rsid w:val="00A26659"/>
    <w:rsid w:val="00A60B32"/>
    <w:rsid w:val="00A74850"/>
    <w:rsid w:val="00A846F6"/>
    <w:rsid w:val="00B05BFB"/>
    <w:rsid w:val="00B16831"/>
    <w:rsid w:val="00B81402"/>
    <w:rsid w:val="00BE5AB6"/>
    <w:rsid w:val="00BF2155"/>
    <w:rsid w:val="00C10F70"/>
    <w:rsid w:val="00C63409"/>
    <w:rsid w:val="00CC4059"/>
    <w:rsid w:val="00CC5E12"/>
    <w:rsid w:val="00D32A91"/>
    <w:rsid w:val="00D839AE"/>
    <w:rsid w:val="00DC77DB"/>
    <w:rsid w:val="00E81F20"/>
    <w:rsid w:val="00EA7093"/>
    <w:rsid w:val="00EB0AD7"/>
    <w:rsid w:val="00EF65F2"/>
    <w:rsid w:val="00F614A7"/>
    <w:rsid w:val="00F77E0B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22DB3"/>
  <w15:chartTrackingRefBased/>
  <w15:docId w15:val="{60E020C0-EF6A-457C-BFE0-6042B8D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04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B04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B0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2</cp:revision>
  <cp:lastPrinted>2020-10-15T09:55:00Z</cp:lastPrinted>
  <dcterms:created xsi:type="dcterms:W3CDTF">2021-04-15T13:44:00Z</dcterms:created>
  <dcterms:modified xsi:type="dcterms:W3CDTF">2021-04-15T13:44:00Z</dcterms:modified>
</cp:coreProperties>
</file>